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C4" w:rsidRPr="003618C4" w:rsidRDefault="003618C4" w:rsidP="003618C4">
      <w:pPr>
        <w:keepNext/>
        <w:spacing w:after="0" w:line="240" w:lineRule="auto"/>
        <w:ind w:right="-285"/>
        <w:outlineLvl w:val="0"/>
        <w:rPr>
          <w:rFonts w:ascii="Arial" w:eastAsia="Times New Roman" w:hAnsi="Arial" w:cs="Times New Roman"/>
          <w:b/>
          <w:spacing w:val="24"/>
          <w:sz w:val="28"/>
          <w:szCs w:val="28"/>
          <w:lang w:eastAsia="de-DE"/>
        </w:rPr>
      </w:pPr>
      <w:r w:rsidRPr="003618C4">
        <w:rPr>
          <w:rFonts w:ascii="Arial" w:eastAsia="Times New Roman" w:hAnsi="Arial" w:cs="Times New Roman"/>
          <w:b/>
          <w:spacing w:val="24"/>
          <w:sz w:val="28"/>
          <w:szCs w:val="28"/>
          <w:lang w:eastAsia="de-DE"/>
        </w:rPr>
        <w:t xml:space="preserve">Bekanntmachung des Umlegungsbeschlusses </w:t>
      </w:r>
    </w:p>
    <w:p w:rsidR="003618C4" w:rsidRPr="003618C4" w:rsidRDefault="003618C4" w:rsidP="003618C4">
      <w:pPr>
        <w:spacing w:after="0" w:line="240" w:lineRule="auto"/>
        <w:ind w:right="-285"/>
        <w:rPr>
          <w:rFonts w:ascii="Arial" w:eastAsia="Times New Roman" w:hAnsi="Arial" w:cs="Times New Roman"/>
          <w:szCs w:val="20"/>
          <w:lang w:val="x-none" w:eastAsia="x-none"/>
        </w:rPr>
      </w:pPr>
    </w:p>
    <w:p w:rsidR="003618C4" w:rsidRPr="003618C4" w:rsidRDefault="003618C4" w:rsidP="003618C4">
      <w:pPr>
        <w:spacing w:after="0" w:line="240" w:lineRule="auto"/>
        <w:ind w:right="-285"/>
        <w:rPr>
          <w:rFonts w:ascii="Arial" w:eastAsia="Times New Roman" w:hAnsi="Arial" w:cs="Times New Roman"/>
          <w:szCs w:val="20"/>
          <w:lang w:eastAsia="de-DE"/>
        </w:rPr>
      </w:pPr>
    </w:p>
    <w:p w:rsidR="003618C4" w:rsidRPr="003618C4" w:rsidRDefault="003618C4" w:rsidP="003618C4">
      <w:pPr>
        <w:spacing w:after="0" w:line="240" w:lineRule="auto"/>
        <w:ind w:right="-285"/>
        <w:rPr>
          <w:rFonts w:ascii="Arial" w:eastAsia="Times New Roman" w:hAnsi="Arial" w:cs="Times New Roman"/>
          <w:b/>
          <w:szCs w:val="20"/>
          <w:lang w:eastAsia="de-DE"/>
        </w:rPr>
      </w:pPr>
      <w:r w:rsidRPr="003618C4">
        <w:rPr>
          <w:rFonts w:ascii="Arial" w:eastAsia="Times New Roman" w:hAnsi="Arial" w:cs="Times New Roman"/>
          <w:b/>
          <w:szCs w:val="20"/>
          <w:lang w:eastAsia="de-DE"/>
        </w:rPr>
        <w:t xml:space="preserve">I.  Umlegungsbeschluss für das </w:t>
      </w:r>
    </w:p>
    <w:p w:rsidR="003618C4" w:rsidRPr="003618C4" w:rsidRDefault="003618C4" w:rsidP="003618C4">
      <w:pPr>
        <w:spacing w:after="0" w:line="240" w:lineRule="auto"/>
        <w:ind w:right="-285"/>
        <w:rPr>
          <w:rFonts w:ascii="Arial" w:eastAsia="Times New Roman" w:hAnsi="Arial" w:cs="Times New Roman"/>
          <w:sz w:val="28"/>
          <w:szCs w:val="28"/>
          <w:lang w:eastAsia="de-DE"/>
        </w:rPr>
      </w:pPr>
    </w:p>
    <w:p w:rsidR="003618C4" w:rsidRPr="003618C4" w:rsidRDefault="003618C4" w:rsidP="003618C4">
      <w:pPr>
        <w:spacing w:after="0" w:line="240" w:lineRule="auto"/>
        <w:ind w:right="-285"/>
        <w:rPr>
          <w:rFonts w:ascii="Arial" w:eastAsia="Times New Roman" w:hAnsi="Arial" w:cs="Times New Roman"/>
          <w:szCs w:val="20"/>
          <w:lang w:eastAsia="de-DE"/>
        </w:rPr>
      </w:pPr>
      <w:r w:rsidRPr="003618C4">
        <w:rPr>
          <w:rFonts w:ascii="Arial" w:eastAsia="Times New Roman" w:hAnsi="Arial" w:cs="Times New Roman"/>
          <w:szCs w:val="20"/>
          <w:lang w:eastAsia="de-DE"/>
        </w:rPr>
        <w:tab/>
        <w:t>Gebiet:</w:t>
      </w:r>
      <w:r w:rsidRPr="003618C4">
        <w:rPr>
          <w:rFonts w:ascii="Arial" w:eastAsia="Times New Roman" w:hAnsi="Arial" w:cs="Times New Roman"/>
          <w:szCs w:val="20"/>
          <w:lang w:eastAsia="de-DE"/>
        </w:rPr>
        <w:tab/>
      </w:r>
      <w:r w:rsidRPr="003618C4">
        <w:rPr>
          <w:rFonts w:ascii="Arial" w:eastAsia="Times New Roman" w:hAnsi="Arial" w:cs="Times New Roman"/>
          <w:szCs w:val="20"/>
          <w:lang w:eastAsia="de-DE"/>
        </w:rPr>
        <w:tab/>
        <w:t>„Sandäcker“</w:t>
      </w:r>
    </w:p>
    <w:p w:rsidR="003618C4" w:rsidRPr="003618C4" w:rsidRDefault="003618C4" w:rsidP="003618C4">
      <w:pPr>
        <w:spacing w:after="0" w:line="240" w:lineRule="auto"/>
        <w:ind w:right="-285"/>
        <w:rPr>
          <w:rFonts w:ascii="Arial" w:eastAsia="Times New Roman" w:hAnsi="Arial" w:cs="Times New Roman"/>
          <w:szCs w:val="20"/>
          <w:lang w:eastAsia="de-DE"/>
        </w:rPr>
      </w:pPr>
    </w:p>
    <w:p w:rsidR="003618C4" w:rsidRPr="003618C4" w:rsidRDefault="003618C4" w:rsidP="003618C4">
      <w:pPr>
        <w:spacing w:after="0" w:line="240" w:lineRule="auto"/>
        <w:ind w:right="-285"/>
        <w:rPr>
          <w:rFonts w:ascii="Arial" w:eastAsia="Times New Roman" w:hAnsi="Arial" w:cs="Times New Roman"/>
          <w:sz w:val="28"/>
          <w:szCs w:val="28"/>
          <w:lang w:eastAsia="de-DE"/>
        </w:rPr>
      </w:pPr>
      <w:r w:rsidRPr="003618C4">
        <w:rPr>
          <w:rFonts w:ascii="Arial" w:eastAsia="Times New Roman" w:hAnsi="Arial" w:cs="Times New Roman"/>
          <w:szCs w:val="20"/>
          <w:lang w:eastAsia="de-DE"/>
        </w:rPr>
        <w:tab/>
        <w:t>Gemarkungen:</w:t>
      </w:r>
      <w:r w:rsidRPr="003618C4">
        <w:rPr>
          <w:rFonts w:ascii="Arial" w:eastAsia="Times New Roman" w:hAnsi="Arial" w:cs="Times New Roman"/>
          <w:szCs w:val="20"/>
          <w:lang w:eastAsia="de-DE"/>
        </w:rPr>
        <w:tab/>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und </w:t>
      </w:r>
      <w:proofErr w:type="spellStart"/>
      <w:r w:rsidRPr="003618C4">
        <w:rPr>
          <w:rFonts w:ascii="Arial" w:eastAsia="Times New Roman" w:hAnsi="Arial" w:cs="Times New Roman"/>
          <w:szCs w:val="20"/>
          <w:lang w:eastAsia="de-DE"/>
        </w:rPr>
        <w:t>Rotenberg</w:t>
      </w:r>
      <w:proofErr w:type="spellEnd"/>
    </w:p>
    <w:p w:rsidR="003618C4" w:rsidRPr="003618C4" w:rsidRDefault="003618C4" w:rsidP="003618C4">
      <w:pPr>
        <w:spacing w:after="0" w:line="240" w:lineRule="auto"/>
        <w:ind w:right="-285"/>
        <w:jc w:val="both"/>
        <w:rPr>
          <w:rFonts w:ascii="Arial" w:eastAsia="Times New Roman" w:hAnsi="Arial" w:cs="Times New Roman"/>
          <w:sz w:val="16"/>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Der Umlegungsausschuss hat am 17.04.2023 gemäß § 47 Baugesetzbuch (BauGB) </w:t>
      </w:r>
      <w:r w:rsidRPr="003618C4">
        <w:rPr>
          <w:rFonts w:ascii="Arial" w:eastAsia="Times New Roman" w:hAnsi="Arial" w:cs="Times New Roman"/>
          <w:lang w:eastAsia="de-DE"/>
        </w:rPr>
        <w:t>in der Fassung der Bekanntmachung vom 23. September 2004 (BGBl. I S. 2414), zuletzt geändert durch Artikel 1 des Gesetzes vom 22. Juli 2011 (BGBl. I S. 1509),</w:t>
      </w:r>
      <w:r w:rsidRPr="003618C4">
        <w:rPr>
          <w:rFonts w:ascii="Arial" w:eastAsia="Times New Roman" w:hAnsi="Arial" w:cs="Times New Roman"/>
          <w:szCs w:val="20"/>
          <w:lang w:eastAsia="de-DE"/>
        </w:rPr>
        <w:t xml:space="preserve"> auf den Gemarkungen </w:t>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und </w:t>
      </w:r>
      <w:proofErr w:type="spellStart"/>
      <w:r w:rsidRPr="003618C4">
        <w:rPr>
          <w:rFonts w:ascii="Arial" w:eastAsia="Times New Roman" w:hAnsi="Arial" w:cs="Times New Roman"/>
          <w:szCs w:val="20"/>
          <w:lang w:eastAsia="de-DE"/>
        </w:rPr>
        <w:t>Rotenberg</w:t>
      </w:r>
      <w:proofErr w:type="spellEnd"/>
      <w:r w:rsidRPr="003618C4">
        <w:rPr>
          <w:rFonts w:ascii="Arial" w:eastAsia="Times New Roman" w:hAnsi="Arial" w:cs="Times New Roman"/>
          <w:szCs w:val="20"/>
          <w:lang w:eastAsia="de-DE"/>
        </w:rPr>
        <w:t xml:space="preserve"> im Bereich des Bebauungsplanes „Sandäcker“ die Durchführung einer</w:t>
      </w:r>
    </w:p>
    <w:p w:rsidR="003618C4" w:rsidRPr="003618C4" w:rsidRDefault="003618C4" w:rsidP="003618C4">
      <w:pPr>
        <w:spacing w:after="0" w:line="240" w:lineRule="auto"/>
        <w:ind w:right="-285"/>
        <w:jc w:val="both"/>
        <w:rPr>
          <w:rFonts w:ascii="Arial" w:eastAsia="Times New Roman" w:hAnsi="Arial" w:cs="Times New Roman"/>
          <w:sz w:val="16"/>
          <w:szCs w:val="20"/>
          <w:lang w:eastAsia="de-DE"/>
        </w:rPr>
      </w:pPr>
    </w:p>
    <w:p w:rsidR="003618C4" w:rsidRPr="003618C4" w:rsidRDefault="003618C4" w:rsidP="003618C4">
      <w:pPr>
        <w:spacing w:after="0" w:line="240" w:lineRule="auto"/>
        <w:ind w:right="-285"/>
        <w:jc w:val="both"/>
        <w:rPr>
          <w:rFonts w:ascii="Arial" w:eastAsia="Times New Roman" w:hAnsi="Arial" w:cs="Times New Roman"/>
          <w:sz w:val="16"/>
          <w:szCs w:val="20"/>
          <w:lang w:eastAsia="de-DE"/>
        </w:rPr>
      </w:pPr>
    </w:p>
    <w:p w:rsidR="003618C4" w:rsidRPr="003618C4" w:rsidRDefault="003618C4" w:rsidP="003618C4">
      <w:pPr>
        <w:spacing w:after="0" w:line="240" w:lineRule="auto"/>
        <w:ind w:right="-285"/>
        <w:jc w:val="both"/>
        <w:rPr>
          <w:rFonts w:ascii="Arial" w:eastAsia="Times New Roman" w:hAnsi="Arial" w:cs="Times New Roman"/>
          <w:sz w:val="16"/>
          <w:szCs w:val="20"/>
          <w:lang w:eastAsia="de-DE"/>
        </w:rPr>
      </w:pPr>
    </w:p>
    <w:p w:rsidR="003618C4" w:rsidRPr="003618C4" w:rsidRDefault="003618C4" w:rsidP="003618C4">
      <w:pPr>
        <w:spacing w:after="0" w:line="240" w:lineRule="auto"/>
        <w:ind w:right="-285"/>
        <w:jc w:val="center"/>
        <w:rPr>
          <w:rFonts w:ascii="Arial" w:eastAsia="Times New Roman" w:hAnsi="Arial" w:cs="Times New Roman"/>
          <w:b/>
          <w:szCs w:val="20"/>
          <w:lang w:eastAsia="de-DE"/>
        </w:rPr>
      </w:pPr>
      <w:r w:rsidRPr="003618C4">
        <w:rPr>
          <w:rFonts w:ascii="Arial" w:eastAsia="Times New Roman" w:hAnsi="Arial" w:cs="Times New Roman"/>
          <w:b/>
          <w:szCs w:val="20"/>
          <w:lang w:eastAsia="de-DE"/>
        </w:rPr>
        <w:t>Umlegung</w:t>
      </w:r>
    </w:p>
    <w:p w:rsidR="003618C4" w:rsidRPr="003618C4" w:rsidRDefault="003618C4" w:rsidP="003618C4">
      <w:pPr>
        <w:spacing w:after="0" w:line="240" w:lineRule="auto"/>
        <w:ind w:right="-285"/>
        <w:jc w:val="both"/>
        <w:rPr>
          <w:rFonts w:ascii="Arial" w:eastAsia="Times New Roman" w:hAnsi="Arial" w:cs="Times New Roman"/>
          <w:sz w:val="16"/>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val="x-none" w:eastAsia="x-none"/>
        </w:rPr>
      </w:pPr>
      <w:r w:rsidRPr="003618C4">
        <w:rPr>
          <w:rFonts w:ascii="Arial" w:eastAsia="Times New Roman" w:hAnsi="Arial" w:cs="Times New Roman"/>
          <w:szCs w:val="20"/>
          <w:lang w:val="x-none" w:eastAsia="x-none"/>
        </w:rPr>
        <w:t>beschlossen.</w:t>
      </w:r>
    </w:p>
    <w:p w:rsidR="003618C4" w:rsidRPr="003618C4" w:rsidRDefault="003618C4" w:rsidP="003618C4">
      <w:pPr>
        <w:spacing w:after="0" w:line="240" w:lineRule="auto"/>
        <w:ind w:left="709" w:right="-285"/>
        <w:rPr>
          <w:rFonts w:ascii="Arial" w:eastAsia="Times New Roman" w:hAnsi="Arial" w:cs="Times New Roman"/>
          <w:szCs w:val="20"/>
          <w:lang w:eastAsia="de-DE"/>
        </w:rPr>
      </w:pPr>
    </w:p>
    <w:p w:rsidR="003618C4" w:rsidRPr="003618C4" w:rsidRDefault="003618C4" w:rsidP="003618C4">
      <w:pPr>
        <w:tabs>
          <w:tab w:val="num" w:pos="2268"/>
        </w:tabs>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Das Gebiet wird begrenzt</w:t>
      </w:r>
      <w:r w:rsidRPr="003618C4">
        <w:rPr>
          <w:rFonts w:ascii="Arial" w:eastAsia="Times New Roman" w:hAnsi="Arial" w:cs="Times New Roman"/>
          <w:szCs w:val="20"/>
          <w:lang w:eastAsia="de-DE"/>
        </w:rPr>
        <w:br/>
      </w:r>
    </w:p>
    <w:p w:rsidR="003618C4" w:rsidRPr="003618C4" w:rsidRDefault="003618C4" w:rsidP="003618C4">
      <w:pPr>
        <w:tabs>
          <w:tab w:val="num" w:pos="2268"/>
        </w:tabs>
        <w:spacing w:after="0" w:line="240" w:lineRule="auto"/>
        <w:ind w:left="2127" w:right="-285" w:hanging="1843"/>
        <w:rPr>
          <w:rFonts w:ascii="Arial" w:eastAsia="Times New Roman" w:hAnsi="Arial" w:cs="Times New Roman"/>
          <w:szCs w:val="20"/>
          <w:lang w:eastAsia="de-DE"/>
        </w:rPr>
      </w:pPr>
      <w:proofErr w:type="gramStart"/>
      <w:r w:rsidRPr="003618C4">
        <w:rPr>
          <w:rFonts w:ascii="Arial" w:eastAsia="Times New Roman" w:hAnsi="Arial" w:cs="Times New Roman"/>
          <w:szCs w:val="20"/>
          <w:lang w:eastAsia="de-DE"/>
        </w:rPr>
        <w:t>im</w:t>
      </w:r>
      <w:proofErr w:type="gramEnd"/>
      <w:r w:rsidRPr="003618C4">
        <w:rPr>
          <w:rFonts w:ascii="Arial" w:eastAsia="Times New Roman" w:hAnsi="Arial" w:cs="Times New Roman"/>
          <w:szCs w:val="20"/>
          <w:lang w:eastAsia="de-DE"/>
        </w:rPr>
        <w:t xml:space="preserve"> Norden: </w:t>
      </w:r>
      <w:r w:rsidRPr="003618C4">
        <w:rPr>
          <w:rFonts w:ascii="Arial" w:eastAsia="Times New Roman" w:hAnsi="Arial" w:cs="Times New Roman"/>
          <w:szCs w:val="20"/>
          <w:lang w:eastAsia="de-DE"/>
        </w:rPr>
        <w:tab/>
        <w:t>durch die außerhalb der Umlegung liegenden Grundstücke auf</w:t>
      </w:r>
    </w:p>
    <w:p w:rsidR="003618C4" w:rsidRPr="003618C4" w:rsidRDefault="003618C4" w:rsidP="003618C4">
      <w:pPr>
        <w:tabs>
          <w:tab w:val="num" w:pos="2268"/>
        </w:tabs>
        <w:spacing w:after="0" w:line="240" w:lineRule="auto"/>
        <w:ind w:left="2127" w:right="-285" w:hanging="1843"/>
        <w:rPr>
          <w:rFonts w:ascii="Arial" w:eastAsia="Times New Roman" w:hAnsi="Arial" w:cs="Times New Roman"/>
          <w:b/>
          <w:szCs w:val="20"/>
          <w:lang w:eastAsia="de-DE"/>
        </w:rPr>
      </w:pPr>
      <w:r w:rsidRPr="003618C4">
        <w:rPr>
          <w:rFonts w:ascii="Arial" w:eastAsia="Times New Roman" w:hAnsi="Arial" w:cs="Times New Roman"/>
          <w:szCs w:val="20"/>
          <w:lang w:eastAsia="de-DE"/>
        </w:rPr>
        <w:tab/>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Rauenberg</w:t>
      </w:r>
      <w:proofErr w:type="spellEnd"/>
    </w:p>
    <w:p w:rsidR="003618C4" w:rsidRPr="003618C4" w:rsidRDefault="003618C4" w:rsidP="003618C4">
      <w:pPr>
        <w:tabs>
          <w:tab w:val="num" w:pos="2268"/>
        </w:tabs>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ab/>
      </w:r>
      <w:proofErr w:type="spellStart"/>
      <w:r w:rsidRPr="003618C4">
        <w:rPr>
          <w:rFonts w:ascii="Arial" w:eastAsia="Times New Roman" w:hAnsi="Arial" w:cs="Times New Roman"/>
          <w:szCs w:val="20"/>
          <w:lang w:eastAsia="de-DE"/>
        </w:rPr>
        <w:t>FlstNr</w:t>
      </w:r>
      <w:proofErr w:type="spellEnd"/>
      <w:r w:rsidRPr="003618C4">
        <w:rPr>
          <w:rFonts w:ascii="Arial" w:eastAsia="Times New Roman" w:hAnsi="Arial" w:cs="Times New Roman"/>
          <w:szCs w:val="20"/>
          <w:lang w:eastAsia="de-DE"/>
        </w:rPr>
        <w:t>. 204, 209/4, 209/6, 209/5 (teilweise einbezogen) 7024 (Weinstraße), 224/1, 490, 490/2, 491</w:t>
      </w:r>
    </w:p>
    <w:p w:rsidR="003618C4" w:rsidRPr="003618C4" w:rsidRDefault="003618C4" w:rsidP="003618C4">
      <w:pPr>
        <w:tabs>
          <w:tab w:val="left" w:pos="2127"/>
        </w:tabs>
        <w:spacing w:after="0" w:line="240" w:lineRule="auto"/>
        <w:ind w:left="284" w:right="-285"/>
        <w:rPr>
          <w:rFonts w:ascii="Arial" w:eastAsia="Times New Roman" w:hAnsi="Arial" w:cs="Times New Roman"/>
          <w:szCs w:val="20"/>
          <w:highlight w:val="yellow"/>
          <w:lang w:eastAsia="de-DE"/>
        </w:rPr>
      </w:pP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im Osten: </w:t>
      </w:r>
      <w:r w:rsidRPr="003618C4">
        <w:rPr>
          <w:rFonts w:ascii="Arial" w:eastAsia="Times New Roman" w:hAnsi="Arial" w:cs="Times New Roman"/>
          <w:szCs w:val="20"/>
          <w:lang w:eastAsia="de-DE"/>
        </w:rPr>
        <w:tab/>
        <w:t>durch die außerhalb der Umlegung liegenden Grundstücke</w:t>
      </w:r>
    </w:p>
    <w:p w:rsidR="003618C4" w:rsidRPr="003618C4" w:rsidRDefault="003618C4" w:rsidP="003618C4">
      <w:pPr>
        <w:tabs>
          <w:tab w:val="num" w:pos="2268"/>
        </w:tabs>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ab/>
        <w:t xml:space="preserve">auf </w:t>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Rotenberg</w:t>
      </w:r>
      <w:proofErr w:type="spellEnd"/>
    </w:p>
    <w:p w:rsidR="003618C4" w:rsidRPr="003618C4" w:rsidRDefault="003618C4" w:rsidP="003618C4">
      <w:pPr>
        <w:spacing w:after="0" w:line="240" w:lineRule="auto"/>
        <w:ind w:left="2127" w:right="-285"/>
        <w:rPr>
          <w:rFonts w:ascii="Arial" w:eastAsia="Times New Roman" w:hAnsi="Arial" w:cs="Times New Roman"/>
          <w:szCs w:val="20"/>
          <w:lang w:eastAsia="de-DE"/>
        </w:rPr>
      </w:pPr>
      <w:proofErr w:type="spellStart"/>
      <w:r w:rsidRPr="003618C4">
        <w:rPr>
          <w:rFonts w:ascii="Arial" w:eastAsia="Times New Roman" w:hAnsi="Arial" w:cs="Times New Roman"/>
          <w:szCs w:val="20"/>
          <w:lang w:eastAsia="de-DE"/>
        </w:rPr>
        <w:t>Flst.Nr</w:t>
      </w:r>
      <w:proofErr w:type="spellEnd"/>
      <w:r w:rsidRPr="003618C4">
        <w:rPr>
          <w:rFonts w:ascii="Arial" w:eastAsia="Times New Roman" w:hAnsi="Arial" w:cs="Times New Roman"/>
          <w:szCs w:val="20"/>
          <w:lang w:eastAsia="de-DE"/>
        </w:rPr>
        <w:t>. 598, 316</w:t>
      </w:r>
    </w:p>
    <w:p w:rsidR="003618C4" w:rsidRPr="003618C4" w:rsidRDefault="003618C4" w:rsidP="003618C4">
      <w:pPr>
        <w:spacing w:after="0" w:line="240" w:lineRule="auto"/>
        <w:ind w:left="2127" w:right="-285" w:hanging="1843"/>
        <w:rPr>
          <w:rFonts w:ascii="Arial" w:eastAsia="Times New Roman" w:hAnsi="Arial" w:cs="Times New Roman"/>
          <w:szCs w:val="20"/>
          <w:highlight w:val="yellow"/>
          <w:lang w:eastAsia="de-DE"/>
        </w:rPr>
      </w:pP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im Süden:</w:t>
      </w:r>
      <w:r w:rsidRPr="003618C4">
        <w:rPr>
          <w:rFonts w:ascii="Arial" w:eastAsia="Times New Roman" w:hAnsi="Arial" w:cs="Times New Roman"/>
          <w:szCs w:val="20"/>
          <w:lang w:eastAsia="de-DE"/>
        </w:rPr>
        <w:tab/>
        <w:t>durch die außerhalb der Umlegung liegenden Grundstücke</w:t>
      </w: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ab/>
        <w:t xml:space="preserve">auf </w:t>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Rotenberg</w:t>
      </w:r>
      <w:proofErr w:type="spellEnd"/>
    </w:p>
    <w:p w:rsidR="003618C4" w:rsidRPr="003618C4" w:rsidRDefault="003618C4" w:rsidP="003618C4">
      <w:pPr>
        <w:spacing w:after="0" w:line="240" w:lineRule="auto"/>
        <w:ind w:left="2127" w:right="-285"/>
        <w:rPr>
          <w:rFonts w:ascii="Arial" w:eastAsia="Times New Roman" w:hAnsi="Arial" w:cs="Times New Roman"/>
          <w:szCs w:val="20"/>
          <w:lang w:eastAsia="de-DE"/>
        </w:rPr>
      </w:pPr>
      <w:proofErr w:type="spellStart"/>
      <w:r w:rsidRPr="003618C4">
        <w:rPr>
          <w:rFonts w:ascii="Arial" w:eastAsia="Times New Roman" w:hAnsi="Arial" w:cs="Times New Roman"/>
          <w:szCs w:val="20"/>
          <w:lang w:eastAsia="de-DE"/>
        </w:rPr>
        <w:t>Flst.Nr</w:t>
      </w:r>
      <w:proofErr w:type="spellEnd"/>
      <w:r w:rsidRPr="003618C4">
        <w:rPr>
          <w:rFonts w:ascii="Arial" w:eastAsia="Times New Roman" w:hAnsi="Arial" w:cs="Times New Roman"/>
          <w:szCs w:val="20"/>
          <w:lang w:eastAsia="de-DE"/>
        </w:rPr>
        <w:t>. 610</w:t>
      </w:r>
    </w:p>
    <w:p w:rsidR="003618C4" w:rsidRPr="003618C4" w:rsidRDefault="003618C4" w:rsidP="003618C4">
      <w:pPr>
        <w:spacing w:after="0" w:line="240" w:lineRule="auto"/>
        <w:ind w:left="2127" w:right="-285" w:hanging="1843"/>
        <w:rPr>
          <w:rFonts w:ascii="Arial" w:eastAsia="Times New Roman" w:hAnsi="Arial" w:cs="Times New Roman"/>
          <w:szCs w:val="20"/>
          <w:highlight w:val="yellow"/>
          <w:lang w:eastAsia="de-DE"/>
        </w:rPr>
      </w:pP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im Westen:</w:t>
      </w:r>
      <w:r w:rsidRPr="003618C4">
        <w:rPr>
          <w:rFonts w:ascii="Arial" w:eastAsia="Times New Roman" w:hAnsi="Arial" w:cs="Times New Roman"/>
          <w:szCs w:val="20"/>
          <w:lang w:eastAsia="de-DE"/>
        </w:rPr>
        <w:tab/>
        <w:t>durch die außerhalb der Umlegung liegenden Grundstücke</w:t>
      </w: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r w:rsidRPr="003618C4">
        <w:rPr>
          <w:rFonts w:ascii="Arial" w:eastAsia="Times New Roman" w:hAnsi="Arial" w:cs="Times New Roman"/>
          <w:szCs w:val="20"/>
          <w:lang w:eastAsia="de-DE"/>
        </w:rPr>
        <w:tab/>
        <w:t xml:space="preserve">auf </w:t>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Rauenberg</w:t>
      </w:r>
      <w:proofErr w:type="spellEnd"/>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p>
    <w:p w:rsidR="003618C4" w:rsidRPr="003618C4" w:rsidRDefault="003618C4" w:rsidP="003618C4">
      <w:pPr>
        <w:spacing w:after="0" w:line="240" w:lineRule="auto"/>
        <w:ind w:left="2127" w:right="-285"/>
        <w:rPr>
          <w:rFonts w:ascii="Arial" w:eastAsia="Times New Roman" w:hAnsi="Arial" w:cs="Times New Roman"/>
          <w:szCs w:val="20"/>
          <w:lang w:eastAsia="de-DE"/>
        </w:rPr>
      </w:pPr>
      <w:proofErr w:type="spellStart"/>
      <w:r w:rsidRPr="003618C4">
        <w:rPr>
          <w:rFonts w:ascii="Arial" w:eastAsia="Times New Roman" w:hAnsi="Arial" w:cs="Times New Roman"/>
          <w:szCs w:val="20"/>
          <w:lang w:eastAsia="de-DE"/>
        </w:rPr>
        <w:t>Flst.Nr</w:t>
      </w:r>
      <w:proofErr w:type="spellEnd"/>
      <w:r w:rsidRPr="003618C4">
        <w:rPr>
          <w:rFonts w:ascii="Arial" w:eastAsia="Times New Roman" w:hAnsi="Arial" w:cs="Times New Roman"/>
          <w:szCs w:val="20"/>
          <w:lang w:eastAsia="de-DE"/>
        </w:rPr>
        <w:t>. 1989, 1988, 1987, 1986, 1985, 1984, 1983, 1982, 1976, 1975, 1974, 1974/1, 9639, 9633 (Bahnhofstraße)</w:t>
      </w:r>
    </w:p>
    <w:p w:rsidR="003618C4" w:rsidRPr="003618C4" w:rsidRDefault="003618C4" w:rsidP="003618C4">
      <w:pPr>
        <w:spacing w:after="0" w:line="240" w:lineRule="auto"/>
        <w:ind w:left="2127" w:right="-285" w:hanging="1843"/>
        <w:rPr>
          <w:rFonts w:ascii="Arial" w:eastAsia="Times New Roman" w:hAnsi="Arial" w:cs="Times New Roman"/>
          <w:szCs w:val="20"/>
          <w:lang w:eastAsia="de-DE"/>
        </w:rPr>
      </w:pPr>
    </w:p>
    <w:p w:rsidR="003618C4" w:rsidRDefault="003618C4" w:rsidP="003618C4">
      <w:pPr>
        <w:tabs>
          <w:tab w:val="num" w:pos="2268"/>
        </w:tabs>
        <w:spacing w:after="0" w:line="240" w:lineRule="auto"/>
        <w:ind w:right="-285"/>
        <w:rPr>
          <w:rFonts w:ascii="Arial" w:eastAsia="Times New Roman" w:hAnsi="Arial" w:cs="Times New Roman"/>
          <w:szCs w:val="20"/>
          <w:lang w:eastAsia="de-DE"/>
        </w:rPr>
      </w:pPr>
    </w:p>
    <w:p w:rsidR="003618C4" w:rsidRPr="003618C4" w:rsidRDefault="003618C4" w:rsidP="003618C4">
      <w:pPr>
        <w:tabs>
          <w:tab w:val="num" w:pos="2268"/>
        </w:tabs>
        <w:spacing w:after="0" w:line="240" w:lineRule="auto"/>
        <w:ind w:right="-285"/>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In das Verfahren sind folgende Flurstücke der </w:t>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Rauenberg</w:t>
      </w:r>
      <w:proofErr w:type="spellEnd"/>
    </w:p>
    <w:p w:rsidR="003618C4" w:rsidRPr="003618C4" w:rsidRDefault="003618C4" w:rsidP="003618C4">
      <w:pPr>
        <w:spacing w:after="0" w:line="240" w:lineRule="auto"/>
        <w:ind w:right="-285"/>
        <w:rPr>
          <w:rFonts w:ascii="Arial" w:eastAsia="Times New Roman" w:hAnsi="Arial" w:cs="Times New Roman"/>
          <w:szCs w:val="20"/>
          <w:lang w:eastAsia="de-DE"/>
        </w:rPr>
      </w:pPr>
      <w:proofErr w:type="gramStart"/>
      <w:r w:rsidRPr="003618C4">
        <w:rPr>
          <w:rFonts w:ascii="Arial" w:eastAsia="Times New Roman" w:hAnsi="Arial" w:cs="Times New Roman"/>
          <w:szCs w:val="20"/>
          <w:lang w:eastAsia="de-DE"/>
        </w:rPr>
        <w:t>vollständig</w:t>
      </w:r>
      <w:proofErr w:type="gramEnd"/>
      <w:r w:rsidRPr="003618C4">
        <w:rPr>
          <w:rFonts w:ascii="Arial" w:eastAsia="Times New Roman" w:hAnsi="Arial" w:cs="Times New Roman"/>
          <w:szCs w:val="20"/>
          <w:lang w:eastAsia="de-DE"/>
        </w:rPr>
        <w:t xml:space="preserve"> einbezogen:</w:t>
      </w:r>
    </w:p>
    <w:p w:rsidR="003618C4" w:rsidRPr="003618C4" w:rsidRDefault="003618C4" w:rsidP="003618C4">
      <w:pPr>
        <w:spacing w:after="0" w:line="240" w:lineRule="auto"/>
        <w:ind w:right="-285"/>
        <w:rPr>
          <w:rFonts w:ascii="Arial" w:eastAsia="Times New Roman" w:hAnsi="Arial" w:cs="Times New Roman"/>
          <w:szCs w:val="20"/>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roofErr w:type="spellStart"/>
      <w:r w:rsidRPr="003618C4">
        <w:rPr>
          <w:rFonts w:ascii="Arial" w:eastAsia="Times New Roman" w:hAnsi="Arial" w:cs="Times New Roman"/>
          <w:lang w:eastAsia="de-DE"/>
        </w:rPr>
        <w:t>Flurstücksnummer</w:t>
      </w:r>
      <w:proofErr w:type="spellEnd"/>
      <w:r w:rsidRPr="003618C4">
        <w:rPr>
          <w:rFonts w:ascii="Arial" w:eastAsia="Times New Roman" w:hAnsi="Arial" w:cs="Times New Roman"/>
          <w:lang w:eastAsia="de-DE"/>
        </w:rPr>
        <w:t xml:space="preserve">: </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r w:rsidRPr="003618C4">
        <w:rPr>
          <w:rFonts w:ascii="Arial" w:eastAsia="Times New Roman" w:hAnsi="Arial" w:cs="Times New Roman"/>
          <w:lang w:eastAsia="de-DE"/>
        </w:rPr>
        <w:t xml:space="preserve">225, 203, 9640, 1006, 1007, 1008, 1022 </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r w:rsidRPr="003618C4">
        <w:rPr>
          <w:rFonts w:ascii="Arial" w:eastAsia="Times New Roman" w:hAnsi="Arial" w:cs="Times New Roman"/>
          <w:lang w:eastAsia="de-DE"/>
        </w:rPr>
        <w:t xml:space="preserve">Sowie das </w:t>
      </w:r>
      <w:r w:rsidRPr="003618C4">
        <w:rPr>
          <w:rFonts w:ascii="Arial" w:eastAsia="Times New Roman" w:hAnsi="Arial" w:cs="Times New Roman"/>
          <w:u w:val="single"/>
          <w:lang w:eastAsia="de-DE"/>
        </w:rPr>
        <w:t>teilweise</w:t>
      </w:r>
      <w:r w:rsidRPr="003618C4">
        <w:rPr>
          <w:rFonts w:ascii="Arial" w:eastAsia="Times New Roman" w:hAnsi="Arial" w:cs="Times New Roman"/>
          <w:lang w:eastAsia="de-DE"/>
        </w:rPr>
        <w:t xml:space="preserve"> einbezogene Flurstück:</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roofErr w:type="spellStart"/>
      <w:r w:rsidRPr="003618C4">
        <w:rPr>
          <w:rFonts w:ascii="Arial" w:eastAsia="Times New Roman" w:hAnsi="Arial" w:cs="Times New Roman"/>
          <w:lang w:eastAsia="de-DE"/>
        </w:rPr>
        <w:t>Flurstücksnummer</w:t>
      </w:r>
      <w:proofErr w:type="spellEnd"/>
      <w:r w:rsidRPr="003618C4">
        <w:rPr>
          <w:rFonts w:ascii="Arial" w:eastAsia="Times New Roman" w:hAnsi="Arial" w:cs="Times New Roman"/>
          <w:lang w:eastAsia="de-DE"/>
        </w:rPr>
        <w:t xml:space="preserve">: </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r w:rsidRPr="003618C4">
        <w:rPr>
          <w:rFonts w:ascii="Arial" w:eastAsia="Times New Roman" w:hAnsi="Arial" w:cs="Times New Roman"/>
          <w:lang w:eastAsia="de-DE"/>
        </w:rPr>
        <w:t>209/5</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spacing w:after="0" w:line="240" w:lineRule="auto"/>
        <w:ind w:right="-285"/>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In das Verfahren sind folgende Flurstücke der </w:t>
      </w:r>
      <w:r w:rsidRPr="003618C4">
        <w:rPr>
          <w:rFonts w:ascii="Arial" w:eastAsia="Times New Roman" w:hAnsi="Arial" w:cs="Times New Roman"/>
          <w:b/>
          <w:szCs w:val="20"/>
          <w:lang w:eastAsia="de-DE"/>
        </w:rPr>
        <w:t xml:space="preserve">Gemarkung </w:t>
      </w:r>
      <w:proofErr w:type="spellStart"/>
      <w:r w:rsidRPr="003618C4">
        <w:rPr>
          <w:rFonts w:ascii="Arial" w:eastAsia="Times New Roman" w:hAnsi="Arial" w:cs="Times New Roman"/>
          <w:b/>
          <w:szCs w:val="20"/>
          <w:lang w:eastAsia="de-DE"/>
        </w:rPr>
        <w:t>Rotenberg</w:t>
      </w:r>
      <w:proofErr w:type="spellEnd"/>
    </w:p>
    <w:p w:rsidR="003618C4" w:rsidRPr="003618C4" w:rsidRDefault="003618C4" w:rsidP="003618C4">
      <w:pPr>
        <w:spacing w:after="0" w:line="240" w:lineRule="auto"/>
        <w:ind w:right="-285"/>
        <w:rPr>
          <w:rFonts w:ascii="Arial" w:eastAsia="Times New Roman" w:hAnsi="Arial" w:cs="Times New Roman"/>
          <w:szCs w:val="20"/>
          <w:lang w:eastAsia="de-DE"/>
        </w:rPr>
      </w:pPr>
      <w:proofErr w:type="gramStart"/>
      <w:r w:rsidRPr="003618C4">
        <w:rPr>
          <w:rFonts w:ascii="Arial" w:eastAsia="Times New Roman" w:hAnsi="Arial" w:cs="Times New Roman"/>
          <w:szCs w:val="20"/>
          <w:lang w:eastAsia="de-DE"/>
        </w:rPr>
        <w:t>vollständig</w:t>
      </w:r>
      <w:proofErr w:type="gramEnd"/>
      <w:r w:rsidRPr="003618C4">
        <w:rPr>
          <w:rFonts w:ascii="Arial" w:eastAsia="Times New Roman" w:hAnsi="Arial" w:cs="Times New Roman"/>
          <w:szCs w:val="20"/>
          <w:lang w:eastAsia="de-DE"/>
        </w:rPr>
        <w:t xml:space="preserve"> einbezogen:</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proofErr w:type="spellStart"/>
      <w:r w:rsidRPr="003618C4">
        <w:rPr>
          <w:rFonts w:ascii="Arial" w:eastAsia="Times New Roman" w:hAnsi="Arial" w:cs="Times New Roman"/>
          <w:lang w:eastAsia="de-DE"/>
        </w:rPr>
        <w:t>Flurstücksnummer</w:t>
      </w:r>
      <w:proofErr w:type="spellEnd"/>
      <w:r w:rsidRPr="003618C4">
        <w:rPr>
          <w:rFonts w:ascii="Arial" w:eastAsia="Times New Roman" w:hAnsi="Arial" w:cs="Times New Roman"/>
          <w:lang w:eastAsia="de-DE"/>
        </w:rPr>
        <w:t xml:space="preserve">: </w:t>
      </w:r>
    </w:p>
    <w:p w:rsidR="003618C4" w:rsidRPr="003618C4" w:rsidRDefault="003618C4" w:rsidP="003618C4">
      <w:pPr>
        <w:autoSpaceDE w:val="0"/>
        <w:autoSpaceDN w:val="0"/>
        <w:adjustRightInd w:val="0"/>
        <w:spacing w:after="0" w:line="240" w:lineRule="auto"/>
        <w:ind w:right="-285"/>
        <w:rPr>
          <w:rFonts w:ascii="Arial" w:eastAsia="Times New Roman" w:hAnsi="Arial" w:cs="Times New Roman"/>
          <w:lang w:eastAsia="de-DE"/>
        </w:rPr>
      </w:pPr>
      <w:r w:rsidRPr="003618C4">
        <w:rPr>
          <w:rFonts w:ascii="Arial" w:eastAsia="Times New Roman" w:hAnsi="Arial" w:cs="Times New Roman"/>
          <w:lang w:eastAsia="de-DE"/>
        </w:rPr>
        <w:t>599, 600, 601, 602, 603, 604, 605, 607, 608, 609, 609/1</w:t>
      </w:r>
    </w:p>
    <w:p w:rsidR="003618C4" w:rsidRPr="003618C4" w:rsidRDefault="003618C4" w:rsidP="003618C4">
      <w:pPr>
        <w:spacing w:after="0" w:line="240" w:lineRule="auto"/>
        <w:ind w:right="-285"/>
        <w:rPr>
          <w:rFonts w:ascii="Arial" w:eastAsia="Times New Roman" w:hAnsi="Arial" w:cs="Times New Roman"/>
          <w:lang w:eastAsia="de-DE"/>
        </w:rPr>
      </w:pPr>
    </w:p>
    <w:p w:rsidR="003618C4" w:rsidRPr="003618C4" w:rsidRDefault="003618C4" w:rsidP="003618C4">
      <w:pPr>
        <w:spacing w:after="0" w:line="240" w:lineRule="auto"/>
        <w:ind w:right="-285"/>
        <w:rPr>
          <w:rFonts w:ascii="Arial" w:eastAsia="Times New Roman" w:hAnsi="Arial" w:cs="Times New Roman"/>
          <w:lang w:eastAsia="de-DE"/>
        </w:rPr>
      </w:pPr>
    </w:p>
    <w:p w:rsidR="003618C4" w:rsidRPr="003618C4" w:rsidRDefault="003618C4" w:rsidP="003618C4">
      <w:pPr>
        <w:spacing w:after="0" w:line="240" w:lineRule="auto"/>
        <w:ind w:right="-285"/>
        <w:rPr>
          <w:rFonts w:ascii="Arial" w:eastAsia="Times New Roman" w:hAnsi="Arial" w:cs="Times New Roman"/>
          <w:lang w:eastAsia="de-DE"/>
        </w:rPr>
      </w:pPr>
    </w:p>
    <w:p w:rsidR="003618C4" w:rsidRPr="003618C4" w:rsidRDefault="003618C4" w:rsidP="003618C4">
      <w:pPr>
        <w:spacing w:after="0" w:line="240" w:lineRule="auto"/>
        <w:ind w:right="-285"/>
        <w:rPr>
          <w:rFonts w:ascii="Arial" w:eastAsia="Times New Roman" w:hAnsi="Arial" w:cs="Times New Roman"/>
          <w:lang w:eastAsia="de-DE"/>
        </w:rPr>
      </w:pPr>
      <w:r w:rsidRPr="003618C4">
        <w:rPr>
          <w:rFonts w:ascii="Arial" w:eastAsia="Times New Roman" w:hAnsi="Arial" w:cs="Times New Roman"/>
          <w:lang w:eastAsia="de-DE"/>
        </w:rPr>
        <w:t>Das Umlegungsgebiet ist in der Bestandskarte dargestellt.</w:t>
      </w:r>
    </w:p>
    <w:p w:rsidR="003618C4" w:rsidRPr="003618C4" w:rsidRDefault="003618C4" w:rsidP="003618C4">
      <w:pPr>
        <w:spacing w:after="0" w:line="240" w:lineRule="auto"/>
        <w:ind w:right="-285"/>
        <w:jc w:val="both"/>
        <w:rPr>
          <w:rFonts w:ascii="Arial" w:eastAsia="Times New Roman" w:hAnsi="Arial" w:cs="Times New Roman"/>
          <w:szCs w:val="20"/>
          <w:lang w:val="x-none" w:eastAsia="x-none"/>
        </w:rPr>
      </w:pPr>
    </w:p>
    <w:p w:rsidR="003618C4" w:rsidRPr="003618C4" w:rsidRDefault="003618C4" w:rsidP="003618C4">
      <w:pPr>
        <w:spacing w:after="0" w:line="240" w:lineRule="auto"/>
        <w:ind w:right="-285"/>
        <w:jc w:val="both"/>
        <w:rPr>
          <w:rFonts w:ascii="Arial" w:eastAsia="Times New Roman" w:hAnsi="Arial" w:cs="Times New Roman"/>
          <w:szCs w:val="20"/>
          <w:lang w:val="x-none" w:eastAsia="x-none"/>
        </w:rPr>
      </w:pPr>
      <w:r w:rsidRPr="003618C4">
        <w:rPr>
          <w:rFonts w:ascii="Arial" w:eastAsia="Times New Roman" w:hAnsi="Arial" w:cs="Times New Roman"/>
          <w:szCs w:val="20"/>
          <w:lang w:val="x-none" w:eastAsia="x-none"/>
        </w:rPr>
        <w:t xml:space="preserve">Die Umlegung trägt die Bezeichnung </w:t>
      </w:r>
      <w:r w:rsidRPr="003618C4">
        <w:rPr>
          <w:rFonts w:ascii="Arial" w:eastAsia="Times New Roman" w:hAnsi="Arial" w:cs="Times New Roman"/>
          <w:b/>
          <w:szCs w:val="20"/>
          <w:lang w:val="x-none" w:eastAsia="x-none"/>
        </w:rPr>
        <w:t>„Sandäcker“</w:t>
      </w:r>
      <w:r w:rsidRPr="003618C4">
        <w:rPr>
          <w:rFonts w:ascii="Arial" w:eastAsia="Times New Roman" w:hAnsi="Arial" w:cs="Times New Roman"/>
          <w:szCs w:val="20"/>
          <w:lang w:val="x-none" w:eastAsia="x-none"/>
        </w:rPr>
        <w:t>.</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Durch die Umlegung sollen die im Umlegungsgebiet liegenden Grundstücke in der Weise neu geordnet werden, dass nach Lage, Form und Größe für die Bebauung und sonstige Nutzung zweckmäßig gestaltete Grundstücke entstehen.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b/>
          <w:szCs w:val="20"/>
          <w:lang w:eastAsia="de-DE"/>
        </w:rPr>
        <w:t>II. Durchführung</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Die Durchführung der Umlegung obliegt gemäß § 3 Abs. 1 der Verordnung der Landesregierung und des Wirtschaftsministeriums zur Durchführung des BauGB (BauGB-DVO) vom 2. März 1998 (</w:t>
      </w:r>
      <w:proofErr w:type="spellStart"/>
      <w:r w:rsidRPr="003618C4">
        <w:rPr>
          <w:rFonts w:ascii="Arial" w:eastAsia="Times New Roman" w:hAnsi="Arial" w:cs="Times New Roman"/>
          <w:szCs w:val="20"/>
          <w:lang w:eastAsia="de-DE"/>
        </w:rPr>
        <w:t>GBl</w:t>
      </w:r>
      <w:proofErr w:type="spellEnd"/>
      <w:r w:rsidRPr="003618C4">
        <w:rPr>
          <w:rFonts w:ascii="Arial" w:eastAsia="Times New Roman" w:hAnsi="Arial" w:cs="Times New Roman"/>
          <w:szCs w:val="20"/>
          <w:lang w:eastAsia="de-DE"/>
        </w:rPr>
        <w:t>. S. 185), zuletzt geändert am 14. Dezember 2004 (</w:t>
      </w:r>
      <w:proofErr w:type="spellStart"/>
      <w:r w:rsidRPr="003618C4">
        <w:rPr>
          <w:rFonts w:ascii="Arial" w:eastAsia="Times New Roman" w:hAnsi="Arial" w:cs="Times New Roman"/>
          <w:szCs w:val="20"/>
          <w:lang w:eastAsia="de-DE"/>
        </w:rPr>
        <w:t>GBl</w:t>
      </w:r>
      <w:proofErr w:type="spellEnd"/>
      <w:r w:rsidRPr="003618C4">
        <w:rPr>
          <w:rFonts w:ascii="Arial" w:eastAsia="Times New Roman" w:hAnsi="Arial" w:cs="Times New Roman"/>
          <w:szCs w:val="20"/>
          <w:lang w:eastAsia="de-DE"/>
        </w:rPr>
        <w:t xml:space="preserve">. S. 916), in Verbindung mit dem Anordnungsbeschluss des Gemeinderates vom </w:t>
      </w:r>
      <w:r w:rsidRPr="003618C4">
        <w:rPr>
          <w:rFonts w:ascii="Arial" w:eastAsia="Times New Roman" w:hAnsi="Arial" w:cs="Times New Roman"/>
          <w:bCs/>
          <w:szCs w:val="20"/>
          <w:lang w:eastAsia="de-DE"/>
        </w:rPr>
        <w:t xml:space="preserve">17.06.2020 </w:t>
      </w:r>
      <w:r w:rsidRPr="003618C4">
        <w:rPr>
          <w:rFonts w:ascii="Arial" w:eastAsia="Times New Roman" w:hAnsi="Arial" w:cs="Times New Roman"/>
          <w:szCs w:val="20"/>
          <w:lang w:eastAsia="de-DE"/>
        </w:rPr>
        <w:t>dem Umlegungsausschuss „Sandäcker“.</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b/>
          <w:szCs w:val="20"/>
          <w:lang w:eastAsia="de-DE"/>
        </w:rPr>
      </w:pPr>
      <w:r w:rsidRPr="003618C4">
        <w:rPr>
          <w:rFonts w:ascii="Arial" w:eastAsia="Times New Roman" w:hAnsi="Arial" w:cs="Times New Roman"/>
          <w:b/>
          <w:szCs w:val="20"/>
          <w:lang w:eastAsia="de-DE"/>
        </w:rPr>
        <w:t>III. Aufforderung zur Anmeldung von Rechten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bCs/>
          <w:szCs w:val="20"/>
          <w:lang w:val="x-none" w:eastAsia="x-none"/>
        </w:rPr>
      </w:pPr>
      <w:r w:rsidRPr="003618C4">
        <w:rPr>
          <w:rFonts w:ascii="Arial" w:eastAsia="Times New Roman" w:hAnsi="Arial" w:cs="Times New Roman"/>
          <w:bCs/>
          <w:szCs w:val="20"/>
          <w:lang w:val="x-none" w:eastAsia="x-none"/>
        </w:rPr>
        <w:t>Die Inhaber eines nicht im Grundbuch eingetragenen Rechts an dem Grundstück oder an einem das Grundstück belastenden Recht, eines Anspruchs mit dem Recht auf Befriedigung aus dem Grundstück oder eines persönlichen Rechts, das zum Erwerb, zum Besitz oder zur Nutzung des Grundstücks berechtigt oder den Verpflichteten in der Benutzung des Grundstücks beschränkt, werden aufgefordert, innerhalb eines Monats von dieser Bekanntmachung an, ihre Rechte beim Umlegungsausschuss „</w:t>
      </w:r>
      <w:r w:rsidRPr="003618C4">
        <w:rPr>
          <w:rFonts w:ascii="Arial" w:eastAsia="Times New Roman" w:hAnsi="Arial" w:cs="Times New Roman"/>
          <w:bCs/>
          <w:szCs w:val="20"/>
          <w:lang w:eastAsia="x-none"/>
        </w:rPr>
        <w:t>Sandäcker</w:t>
      </w:r>
      <w:r w:rsidRPr="003618C4">
        <w:rPr>
          <w:rFonts w:ascii="Arial" w:eastAsia="Times New Roman" w:hAnsi="Arial" w:cs="Times New Roman"/>
          <w:bCs/>
          <w:szCs w:val="20"/>
          <w:lang w:val="x-none" w:eastAsia="x-none"/>
        </w:rPr>
        <w:t xml:space="preserve">“ der </w:t>
      </w:r>
      <w:r w:rsidRPr="003618C4">
        <w:rPr>
          <w:rFonts w:ascii="Arial" w:eastAsia="Times New Roman" w:hAnsi="Arial" w:cs="Times New Roman"/>
          <w:bCs/>
          <w:szCs w:val="20"/>
          <w:lang w:eastAsia="x-none"/>
        </w:rPr>
        <w:t>Stadt</w:t>
      </w:r>
      <w:r w:rsidRPr="003618C4">
        <w:rPr>
          <w:rFonts w:ascii="Arial" w:eastAsia="Times New Roman" w:hAnsi="Arial" w:cs="Times New Roman"/>
          <w:bCs/>
          <w:szCs w:val="20"/>
          <w:lang w:val="x-none" w:eastAsia="x-none"/>
        </w:rPr>
        <w:t xml:space="preserve"> </w:t>
      </w:r>
      <w:proofErr w:type="spellStart"/>
      <w:r w:rsidRPr="003618C4">
        <w:rPr>
          <w:rFonts w:ascii="Arial" w:eastAsia="Times New Roman" w:hAnsi="Arial" w:cs="Times New Roman"/>
          <w:bCs/>
          <w:szCs w:val="20"/>
          <w:lang w:val="x-none" w:eastAsia="x-none"/>
        </w:rPr>
        <w:t>Rauenberg</w:t>
      </w:r>
      <w:proofErr w:type="spellEnd"/>
      <w:r w:rsidRPr="003618C4">
        <w:rPr>
          <w:rFonts w:ascii="Arial" w:eastAsia="Times New Roman" w:hAnsi="Arial" w:cs="Times New Roman"/>
          <w:bCs/>
          <w:szCs w:val="20"/>
          <w:lang w:val="x-none" w:eastAsia="x-none"/>
        </w:rPr>
        <w:t xml:space="preserve">, </w:t>
      </w:r>
      <w:proofErr w:type="spellStart"/>
      <w:r w:rsidRPr="003618C4">
        <w:rPr>
          <w:rFonts w:ascii="Arial" w:eastAsia="Times New Roman" w:hAnsi="Arial" w:cs="Times New Roman"/>
          <w:bCs/>
          <w:szCs w:val="20"/>
          <w:lang w:eastAsia="x-none"/>
        </w:rPr>
        <w:t>Wieslocher</w:t>
      </w:r>
      <w:proofErr w:type="spellEnd"/>
      <w:r w:rsidRPr="003618C4">
        <w:rPr>
          <w:rFonts w:ascii="Arial" w:eastAsia="Times New Roman" w:hAnsi="Arial" w:cs="Times New Roman"/>
          <w:bCs/>
          <w:szCs w:val="20"/>
          <w:lang w:eastAsia="x-none"/>
        </w:rPr>
        <w:t xml:space="preserve"> Straße 21, 69231 </w:t>
      </w:r>
      <w:proofErr w:type="spellStart"/>
      <w:r w:rsidRPr="003618C4">
        <w:rPr>
          <w:rFonts w:ascii="Arial" w:eastAsia="Times New Roman" w:hAnsi="Arial" w:cs="Times New Roman"/>
          <w:bCs/>
          <w:szCs w:val="20"/>
          <w:lang w:eastAsia="x-none"/>
        </w:rPr>
        <w:t>Rauenberg</w:t>
      </w:r>
      <w:proofErr w:type="spellEnd"/>
      <w:r w:rsidRPr="003618C4">
        <w:rPr>
          <w:rFonts w:ascii="Arial" w:eastAsia="Times New Roman" w:hAnsi="Arial" w:cs="Times New Roman"/>
          <w:bCs/>
          <w:szCs w:val="20"/>
          <w:lang w:val="x-none" w:eastAsia="x-none"/>
        </w:rPr>
        <w:t xml:space="preserve"> anzumelden.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Werden Rechte erst nach Ablauf dieser Frist angemeldet oder nach Ablauf einer vom Umlegungsausschuss gesetzten Frist glaubhaft gemacht, so muss der Berechtigte die bisherigen Verhandlungen und Festsetzungen gegen sich gelten lassen, wenn der Umlegungsausschuss dies bestimmt.</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Der Inhaber eines in Absatz 1 bezeichneten Rechts muss die Wirkung eines vor der Anmeldung eingetretenen Fristablaufs ebenso gegen sich gelten lassen, wie der Beteiligte, demgegenüber die Frist durch Bekanntmachung des Verwaltungsaktes zuerst in Lauf gesetzt worden ist.</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b/>
          <w:szCs w:val="20"/>
          <w:lang w:eastAsia="de-DE"/>
        </w:rPr>
      </w:pPr>
      <w:r w:rsidRPr="003618C4">
        <w:rPr>
          <w:rFonts w:ascii="Arial" w:eastAsia="Times New Roman" w:hAnsi="Arial" w:cs="Times New Roman"/>
          <w:b/>
          <w:szCs w:val="20"/>
          <w:lang w:eastAsia="de-DE"/>
        </w:rPr>
        <w:t xml:space="preserve">IV. Verfügungs- und Veränderungssperre sowie Vorkaufsrecht der Gemeinde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Von dieser Bekanntmachung an bis zur Bekanntmachung der Unanfechtbarkeit des Umlegungsplans dürfen nach § 51 BauGB im Umlegungsgebiet nur mit schriftlicher Genehmigung des Umlegungsausschusses</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numPr>
          <w:ilvl w:val="0"/>
          <w:numId w:val="1"/>
        </w:num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ein Grundstück geteilt oder Verfügungen über ein Grundstück und über Rechte an einem Grundstück getroffen oder Vereinbarungen abgeschlossen werden, durch die einem anderen ein Recht zum Erwerb, zur Nutzung oder Bebauung eines Grundstücks </w:t>
      </w:r>
    </w:p>
    <w:p w:rsidR="003618C4" w:rsidRPr="003618C4" w:rsidRDefault="003618C4" w:rsidP="003618C4">
      <w:pPr>
        <w:spacing w:after="0" w:line="240" w:lineRule="auto"/>
        <w:ind w:left="284" w:right="-285" w:hanging="1"/>
        <w:jc w:val="both"/>
        <w:rPr>
          <w:rFonts w:ascii="Arial" w:eastAsia="Times New Roman" w:hAnsi="Arial" w:cs="Times New Roman"/>
          <w:szCs w:val="20"/>
          <w:lang w:eastAsia="de-DE"/>
        </w:rPr>
      </w:pPr>
      <w:proofErr w:type="gramStart"/>
      <w:r w:rsidRPr="003618C4">
        <w:rPr>
          <w:rFonts w:ascii="Arial" w:eastAsia="Times New Roman" w:hAnsi="Arial" w:cs="Times New Roman"/>
          <w:szCs w:val="20"/>
          <w:lang w:eastAsia="de-DE"/>
        </w:rPr>
        <w:t>oder</w:t>
      </w:r>
      <w:proofErr w:type="gramEnd"/>
      <w:r w:rsidRPr="003618C4">
        <w:rPr>
          <w:rFonts w:ascii="Arial" w:eastAsia="Times New Roman" w:hAnsi="Arial" w:cs="Times New Roman"/>
          <w:szCs w:val="20"/>
          <w:lang w:eastAsia="de-DE"/>
        </w:rPr>
        <w:t xml:space="preserve"> Grundstücksteils eingeräumt wird, oder Baulasten neu begründet, geändert oder aufgehoben werden;</w:t>
      </w:r>
    </w:p>
    <w:p w:rsidR="003618C4" w:rsidRPr="003618C4" w:rsidRDefault="003618C4" w:rsidP="003618C4">
      <w:pPr>
        <w:spacing w:after="0" w:line="240" w:lineRule="auto"/>
        <w:ind w:left="284" w:right="-285" w:hanging="1"/>
        <w:jc w:val="both"/>
        <w:rPr>
          <w:rFonts w:ascii="Arial" w:eastAsia="Times New Roman" w:hAnsi="Arial" w:cs="Times New Roman"/>
          <w:szCs w:val="20"/>
          <w:lang w:eastAsia="de-DE"/>
        </w:rPr>
      </w:pPr>
    </w:p>
    <w:p w:rsidR="003618C4" w:rsidRPr="003618C4" w:rsidRDefault="003618C4" w:rsidP="003618C4">
      <w:pPr>
        <w:numPr>
          <w:ilvl w:val="0"/>
          <w:numId w:val="2"/>
        </w:numPr>
        <w:spacing w:after="0" w:line="240" w:lineRule="auto"/>
        <w:ind w:right="-285"/>
        <w:rPr>
          <w:rFonts w:ascii="Arial" w:eastAsia="Times New Roman" w:hAnsi="Arial" w:cs="Times New Roman"/>
          <w:szCs w:val="20"/>
          <w:lang w:eastAsia="de-DE"/>
        </w:rPr>
      </w:pPr>
      <w:r w:rsidRPr="003618C4">
        <w:rPr>
          <w:rFonts w:ascii="Arial" w:eastAsia="Times New Roman" w:hAnsi="Arial" w:cs="Times New Roman"/>
          <w:szCs w:val="20"/>
          <w:lang w:eastAsia="de-DE"/>
        </w:rPr>
        <w:t>erhebliche Veränderungen der Erdoberfläche oder wesentliche wertsteigernde sonstige Veränderungen der Grundstücke vorgenommen werden;</w:t>
      </w:r>
    </w:p>
    <w:p w:rsidR="003618C4" w:rsidRPr="003618C4" w:rsidRDefault="003618C4" w:rsidP="003618C4">
      <w:pPr>
        <w:spacing w:after="0" w:line="240" w:lineRule="auto"/>
        <w:ind w:right="-285"/>
        <w:rPr>
          <w:rFonts w:ascii="Arial" w:eastAsia="Times New Roman" w:hAnsi="Arial" w:cs="Times New Roman"/>
          <w:szCs w:val="20"/>
          <w:lang w:eastAsia="de-DE"/>
        </w:rPr>
      </w:pPr>
    </w:p>
    <w:p w:rsidR="003618C4" w:rsidRPr="003618C4" w:rsidRDefault="003618C4" w:rsidP="003618C4">
      <w:pPr>
        <w:numPr>
          <w:ilvl w:val="0"/>
          <w:numId w:val="2"/>
        </w:num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nicht genehmigungs-, zustimmungs- oder anzeigepflichtige, aber wertsteigernde bauliche Anlagen errichtet oder wertsteigernde Änderungen solcher Anlagen vorgenommen werden;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numPr>
          <w:ilvl w:val="0"/>
          <w:numId w:val="2"/>
        </w:num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genehmigungs-, zustimmungs- oder anzeigepflichtige bauliche Anlagen errichtet oder geändert werden.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Vorhaben, die vor dem Inkrafttreten der Veränderungssperre baurechtlich genehmigt worden oder auf Grund eines anderen baurechtlichen Verfahrens zulässig sind, Unterhaltsarbeiten und die Fortführung der bisher ausgeübten Nutzung werden von der Veränderungssperre nicht berührt.</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Ein bei der Gemeinde eingereichtes Baugesuch gilt gleichzeitig als Antrag auf Genehmigung durch den Umlegungsausschuss.</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Nach § 24 Abs. 1 Nr. 2 BauGB steht der Gemeinde beim Kauf von Grundstücken, die in dieses Verfahren einbezogen sind, von dieser Bekanntmachung an bis zur Bekanntmachung der Unanfechtbarkeit des Umlegungsplans ein gesetzliches Vorkaufsrecht zu.</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b/>
          <w:szCs w:val="20"/>
          <w:lang w:eastAsia="de-DE"/>
        </w:rPr>
        <w:t>V. Vorarbeiten auf Grundstücken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Eigentümer und Besitzer haben nach § 209 Abs.1 BauGB zu dulden, dass Beauftragte der zuständigen Behörden zur Vorbereitung der von ihnen nach diesem Gesetzbuch zu treffenden Maßnahmen Grundstücke betreten und Vermessungen oder ähnliche Arbeiten ausführen.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b/>
          <w:szCs w:val="20"/>
          <w:lang w:eastAsia="de-DE"/>
        </w:rPr>
      </w:pPr>
      <w:r w:rsidRPr="003618C4">
        <w:rPr>
          <w:rFonts w:ascii="Arial" w:eastAsia="Times New Roman" w:hAnsi="Arial" w:cs="Times New Roman"/>
          <w:b/>
          <w:szCs w:val="20"/>
          <w:lang w:eastAsia="de-DE"/>
        </w:rPr>
        <w:t>VI. Bekanntgabe des Umlegungsbeschlusses</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Der Umlegungsbeschluss gilt mit dem auf die ortsübliche Bekanntmachung folgenden Tag als bekannt gegeben.</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b/>
          <w:szCs w:val="20"/>
          <w:lang w:eastAsia="de-DE"/>
        </w:rPr>
      </w:pPr>
      <w:r w:rsidRPr="003618C4">
        <w:rPr>
          <w:rFonts w:ascii="Arial" w:eastAsia="Times New Roman" w:hAnsi="Arial" w:cs="Times New Roman"/>
          <w:b/>
          <w:szCs w:val="20"/>
          <w:lang w:eastAsia="de-DE"/>
        </w:rPr>
        <w:t>VII. Rechtsbehelfsbelehrung</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Gegen den Umlegungsbeschluss kann binnen sechs Wochen seit der Bekanntgabe Antrag auf gerichtliche Entscheidung bei der Stadt </w:t>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w:t>
      </w:r>
      <w:proofErr w:type="spellStart"/>
      <w:r w:rsidRPr="003618C4">
        <w:rPr>
          <w:rFonts w:ascii="Arial" w:eastAsia="Times New Roman" w:hAnsi="Arial" w:cs="Times New Roman"/>
          <w:szCs w:val="20"/>
          <w:lang w:eastAsia="de-DE"/>
        </w:rPr>
        <w:t>Wieslocher</w:t>
      </w:r>
      <w:proofErr w:type="spellEnd"/>
      <w:r w:rsidRPr="003618C4">
        <w:rPr>
          <w:rFonts w:ascii="Arial" w:eastAsia="Times New Roman" w:hAnsi="Arial" w:cs="Times New Roman"/>
          <w:szCs w:val="20"/>
          <w:lang w:eastAsia="de-DE"/>
        </w:rPr>
        <w:t xml:space="preserve"> Straße 21,</w:t>
      </w: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69231 </w:t>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eingereicht werden (§ 217 BauGB). Über den Antrag entscheidet das Landgericht Karlsruhe, Kammer für Baulandsachen, in Karlsruhe.</w:t>
      </w:r>
    </w:p>
    <w:p w:rsidR="00F03A65" w:rsidRDefault="00F03A65"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Der Antrag muss den Verwaltungsakt bezeichnen, gegen den er sich richtet. Er soll die Erklärung, inwieweit der Umlegungsbeschluss angefochten wird, und einen bestimmten Antrag enthalten. Er soll die Gründe, sowie die Tatsachen und Beweismittel angeben, die zur Rechtfertigung des Antrags dienen.</w:t>
      </w:r>
    </w:p>
    <w:p w:rsidR="003618C4" w:rsidRDefault="003618C4" w:rsidP="003618C4">
      <w:pPr>
        <w:spacing w:after="0" w:line="240" w:lineRule="auto"/>
        <w:ind w:right="-285"/>
        <w:jc w:val="both"/>
        <w:rPr>
          <w:rFonts w:ascii="Arial" w:eastAsia="Times New Roman" w:hAnsi="Arial" w:cs="Times New Roman"/>
          <w:szCs w:val="20"/>
          <w:lang w:eastAsia="de-DE"/>
        </w:rPr>
      </w:pPr>
    </w:p>
    <w:p w:rsidR="00F03A65" w:rsidRDefault="00F03A65" w:rsidP="003618C4">
      <w:pPr>
        <w:spacing w:after="0" w:line="240" w:lineRule="auto"/>
        <w:ind w:right="-285"/>
        <w:jc w:val="both"/>
        <w:rPr>
          <w:rFonts w:ascii="Arial" w:eastAsia="Times New Roman" w:hAnsi="Arial" w:cs="Times New Roman"/>
          <w:szCs w:val="20"/>
          <w:lang w:eastAsia="de-DE"/>
        </w:rPr>
      </w:pPr>
    </w:p>
    <w:p w:rsidR="00F03A65" w:rsidRPr="003618C4" w:rsidRDefault="00F03A65"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val="x-none" w:eastAsia="x-none"/>
        </w:rPr>
      </w:pPr>
      <w:r w:rsidRPr="003618C4">
        <w:rPr>
          <w:rFonts w:ascii="Arial" w:eastAsia="Times New Roman" w:hAnsi="Arial" w:cs="Times New Roman"/>
          <w:szCs w:val="20"/>
          <w:lang w:val="x-none" w:eastAsia="x-none"/>
        </w:rPr>
        <w:t>Hinweis: Es wird darauf hingewiesen, dass der Antrag auf gerichtliche Entscheidung ohne Rechtsanwalt gestellt werden kann, dass aber für die weiterführenden prozessualen Erklärungen in der Hauptsache der Antragsteller sich eines vertretungsberechtigten Rechtsanwalts bedienen muss (§ 222 Abs. 3 BauGB).</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left="454" w:right="-285" w:hanging="454"/>
        <w:rPr>
          <w:rFonts w:ascii="Arial" w:eastAsia="Times New Roman" w:hAnsi="Arial" w:cs="Times New Roman"/>
          <w:b/>
          <w:szCs w:val="20"/>
          <w:lang w:eastAsia="de-DE"/>
        </w:rPr>
      </w:pPr>
      <w:r w:rsidRPr="003618C4">
        <w:rPr>
          <w:rFonts w:ascii="Arial" w:eastAsia="Times New Roman" w:hAnsi="Arial" w:cs="Times New Roman"/>
          <w:b/>
          <w:szCs w:val="20"/>
          <w:lang w:eastAsia="de-DE"/>
        </w:rPr>
        <w:lastRenderedPageBreak/>
        <w:t xml:space="preserve">VIII. Öffentliche Auslegung der Bestandskarte und des Bestandsverzeichnisses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Für die Grundstücke des Umlegungsgebiets „Sandäcker“ </w:t>
      </w:r>
      <w:proofErr w:type="gramStart"/>
      <w:r w:rsidRPr="003618C4">
        <w:rPr>
          <w:rFonts w:ascii="Arial" w:eastAsia="Times New Roman" w:hAnsi="Arial" w:cs="Times New Roman"/>
          <w:szCs w:val="20"/>
          <w:lang w:eastAsia="de-DE"/>
        </w:rPr>
        <w:t>werden</w:t>
      </w:r>
      <w:proofErr w:type="gramEnd"/>
      <w:r w:rsidRPr="003618C4">
        <w:rPr>
          <w:rFonts w:ascii="Arial" w:eastAsia="Times New Roman" w:hAnsi="Arial" w:cs="Times New Roman"/>
          <w:szCs w:val="20"/>
          <w:lang w:eastAsia="de-DE"/>
        </w:rPr>
        <w:t xml:space="preserve"> eine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Bestandskarte und ein Bestandsverzeichnis nach § 53 BauGB gefertigt.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Bestandskarte und Bestandsverzeichnis werden nach der ortsüblichen Bekanntmachung </w:t>
      </w:r>
    </w:p>
    <w:p w:rsidR="00F03A65"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im Rathaus der Stadt </w:t>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w:t>
      </w:r>
      <w:proofErr w:type="spellStart"/>
      <w:r w:rsidRPr="003618C4">
        <w:rPr>
          <w:rFonts w:ascii="Arial" w:eastAsia="Times New Roman" w:hAnsi="Arial" w:cs="Times New Roman"/>
          <w:szCs w:val="20"/>
          <w:lang w:eastAsia="de-DE"/>
        </w:rPr>
        <w:t>Wieslocher</w:t>
      </w:r>
      <w:proofErr w:type="spellEnd"/>
      <w:r w:rsidRPr="003618C4">
        <w:rPr>
          <w:rFonts w:ascii="Arial" w:eastAsia="Times New Roman" w:hAnsi="Arial" w:cs="Times New Roman"/>
          <w:szCs w:val="20"/>
          <w:lang w:eastAsia="de-DE"/>
        </w:rPr>
        <w:t xml:space="preserve"> Straße 21,</w:t>
      </w:r>
      <w:r w:rsidR="00F03A65">
        <w:rPr>
          <w:rFonts w:ascii="Arial" w:eastAsia="Times New Roman" w:hAnsi="Arial" w:cs="Times New Roman"/>
          <w:szCs w:val="20"/>
          <w:lang w:eastAsia="de-DE"/>
        </w:rPr>
        <w:t xml:space="preserve"> </w:t>
      </w:r>
      <w:r w:rsidRPr="003618C4">
        <w:rPr>
          <w:rFonts w:ascii="Arial" w:eastAsia="Times New Roman" w:hAnsi="Arial" w:cs="Times New Roman"/>
          <w:szCs w:val="20"/>
          <w:lang w:eastAsia="de-DE"/>
        </w:rPr>
        <w:t xml:space="preserve">69231 </w:t>
      </w: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 xml:space="preserve">Bauamt, </w:t>
      </w:r>
      <w:r w:rsidR="00F03A65" w:rsidRPr="00F03A65">
        <w:rPr>
          <w:rFonts w:ascii="Arial" w:eastAsia="Times New Roman" w:hAnsi="Arial" w:cs="Times New Roman"/>
          <w:szCs w:val="20"/>
          <w:lang w:eastAsia="de-DE"/>
        </w:rPr>
        <w:t>Zimmer Nr. 2.3</w:t>
      </w:r>
      <w:r w:rsidR="00F356DC">
        <w:rPr>
          <w:rFonts w:ascii="Arial" w:eastAsia="Times New Roman" w:hAnsi="Arial" w:cs="Times New Roman"/>
          <w:szCs w:val="20"/>
          <w:lang w:eastAsia="de-DE"/>
        </w:rPr>
        <w:t>, in der Zeit vom 08.05.2023 bis 12</w:t>
      </w:r>
      <w:bookmarkStart w:id="0" w:name="_GoBack"/>
      <w:bookmarkEnd w:id="0"/>
      <w:r w:rsidRPr="003618C4">
        <w:rPr>
          <w:rFonts w:ascii="Arial" w:eastAsia="Times New Roman" w:hAnsi="Arial" w:cs="Times New Roman"/>
          <w:szCs w:val="20"/>
          <w:lang w:eastAsia="de-DE"/>
        </w:rPr>
        <w:t xml:space="preserve">.06.2023 während der üblichen </w:t>
      </w:r>
    </w:p>
    <w:p w:rsidR="003618C4" w:rsidRPr="003618C4" w:rsidRDefault="003618C4" w:rsidP="003618C4">
      <w:pPr>
        <w:spacing w:after="0" w:line="240" w:lineRule="auto"/>
        <w:ind w:right="-285"/>
        <w:jc w:val="both"/>
        <w:rPr>
          <w:rFonts w:ascii="Arial" w:eastAsia="Times New Roman" w:hAnsi="Arial" w:cs="Times New Roman"/>
          <w:szCs w:val="20"/>
          <w:lang w:eastAsia="de-DE"/>
        </w:rPr>
      </w:pPr>
      <w:r w:rsidRPr="003618C4">
        <w:rPr>
          <w:rFonts w:ascii="Arial" w:eastAsia="Times New Roman" w:hAnsi="Arial" w:cs="Times New Roman"/>
          <w:szCs w:val="20"/>
          <w:lang w:eastAsia="de-DE"/>
        </w:rPr>
        <w:t>Öffnungszeiten zu jedermanns Einsicht öffentlich ausgelegt.</w:t>
      </w:r>
    </w:p>
    <w:p w:rsidR="003618C4" w:rsidRDefault="003618C4" w:rsidP="003618C4">
      <w:pPr>
        <w:spacing w:after="0" w:line="240" w:lineRule="auto"/>
        <w:ind w:right="-285"/>
        <w:jc w:val="both"/>
        <w:rPr>
          <w:rFonts w:ascii="Arial" w:eastAsia="Times New Roman" w:hAnsi="Arial" w:cs="Times New Roman"/>
          <w:szCs w:val="20"/>
          <w:lang w:eastAsia="de-DE"/>
        </w:rPr>
      </w:pPr>
    </w:p>
    <w:p w:rsidR="00F03A65" w:rsidRPr="003618C4" w:rsidRDefault="00F03A65" w:rsidP="003618C4">
      <w:pPr>
        <w:spacing w:after="0" w:line="240" w:lineRule="auto"/>
        <w:ind w:right="-285"/>
        <w:jc w:val="both"/>
        <w:rPr>
          <w:rFonts w:ascii="Arial" w:eastAsia="Times New Roman" w:hAnsi="Arial" w:cs="Times New Roman"/>
          <w:szCs w:val="20"/>
          <w:lang w:eastAsia="de-DE"/>
        </w:rPr>
      </w:pPr>
    </w:p>
    <w:p w:rsidR="003618C4" w:rsidRDefault="003618C4" w:rsidP="00F03A65">
      <w:pPr>
        <w:spacing w:after="0" w:line="240" w:lineRule="auto"/>
        <w:ind w:right="-285"/>
        <w:jc w:val="both"/>
        <w:rPr>
          <w:rFonts w:ascii="Arial" w:eastAsia="Times New Roman" w:hAnsi="Arial" w:cs="Times New Roman"/>
          <w:szCs w:val="20"/>
          <w:lang w:eastAsia="de-DE"/>
        </w:rPr>
      </w:pPr>
      <w:proofErr w:type="spellStart"/>
      <w:r w:rsidRPr="003618C4">
        <w:rPr>
          <w:rFonts w:ascii="Arial" w:eastAsia="Times New Roman" w:hAnsi="Arial" w:cs="Times New Roman"/>
          <w:szCs w:val="20"/>
          <w:lang w:eastAsia="de-DE"/>
        </w:rPr>
        <w:t>Rauenberg</w:t>
      </w:r>
      <w:proofErr w:type="spellEnd"/>
      <w:r w:rsidRPr="003618C4">
        <w:rPr>
          <w:rFonts w:ascii="Arial" w:eastAsia="Times New Roman" w:hAnsi="Arial" w:cs="Times New Roman"/>
          <w:szCs w:val="20"/>
          <w:lang w:eastAsia="de-DE"/>
        </w:rPr>
        <w:t xml:space="preserve">, </w:t>
      </w:r>
      <w:r w:rsidR="00F03A65">
        <w:rPr>
          <w:rFonts w:ascii="Arial" w:eastAsia="Times New Roman" w:hAnsi="Arial" w:cs="Times New Roman"/>
          <w:szCs w:val="20"/>
          <w:lang w:eastAsia="de-DE"/>
        </w:rPr>
        <w:t xml:space="preserve">den </w:t>
      </w:r>
      <w:r w:rsidRPr="003618C4">
        <w:rPr>
          <w:rFonts w:ascii="Arial" w:eastAsia="Times New Roman" w:hAnsi="Arial" w:cs="Times New Roman"/>
          <w:szCs w:val="20"/>
          <w:lang w:eastAsia="de-DE"/>
        </w:rPr>
        <w:t>18.04.2023</w:t>
      </w:r>
    </w:p>
    <w:p w:rsidR="00F03A65" w:rsidRDefault="003B35E0" w:rsidP="00F03A65">
      <w:pPr>
        <w:spacing w:after="0" w:line="240" w:lineRule="auto"/>
        <w:ind w:right="-285"/>
        <w:jc w:val="both"/>
        <w:rPr>
          <w:rFonts w:ascii="Arial" w:eastAsia="Times New Roman" w:hAnsi="Arial" w:cs="Times New Roman"/>
          <w:szCs w:val="20"/>
          <w:lang w:eastAsia="de-DE"/>
        </w:rPr>
      </w:pPr>
      <w:r>
        <w:rPr>
          <w:rFonts w:ascii="Arial" w:eastAsia="Times New Roman" w:hAnsi="Arial" w:cs="Times New Roman"/>
          <w:noProof/>
          <w:szCs w:val="20"/>
          <w:lang w:eastAsia="de-DE"/>
        </w:rPr>
        <w:drawing>
          <wp:inline distT="0" distB="0" distL="0" distR="0" wp14:anchorId="7CF76EC3">
            <wp:extent cx="1381125" cy="6149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144" cy="626575"/>
                    </a:xfrm>
                    <a:prstGeom prst="rect">
                      <a:avLst/>
                    </a:prstGeom>
                    <a:noFill/>
                  </pic:spPr>
                </pic:pic>
              </a:graphicData>
            </a:graphic>
          </wp:inline>
        </w:drawing>
      </w:r>
    </w:p>
    <w:p w:rsidR="00F03A65" w:rsidRDefault="00F03A65" w:rsidP="00F03A65">
      <w:pPr>
        <w:spacing w:after="0" w:line="240" w:lineRule="auto"/>
        <w:ind w:right="-285"/>
        <w:jc w:val="both"/>
        <w:rPr>
          <w:rFonts w:ascii="Arial" w:eastAsia="Times New Roman" w:hAnsi="Arial" w:cs="Times New Roman"/>
          <w:szCs w:val="20"/>
          <w:lang w:eastAsia="de-DE"/>
        </w:rPr>
      </w:pPr>
      <w:r>
        <w:rPr>
          <w:rFonts w:ascii="Arial" w:eastAsia="Times New Roman" w:hAnsi="Arial" w:cs="Times New Roman"/>
          <w:szCs w:val="20"/>
          <w:lang w:eastAsia="de-DE"/>
        </w:rPr>
        <w:t>Peter Seithel</w:t>
      </w:r>
    </w:p>
    <w:p w:rsidR="00F03A65" w:rsidRPr="003618C4" w:rsidRDefault="00F03A65" w:rsidP="00F03A65">
      <w:pPr>
        <w:spacing w:after="0" w:line="240" w:lineRule="auto"/>
        <w:ind w:right="-285"/>
        <w:jc w:val="both"/>
        <w:rPr>
          <w:rFonts w:ascii="Arial" w:eastAsia="Times New Roman" w:hAnsi="Arial" w:cs="Times New Roman"/>
          <w:szCs w:val="20"/>
          <w:lang w:eastAsia="de-DE"/>
        </w:rPr>
      </w:pPr>
      <w:r>
        <w:rPr>
          <w:rFonts w:ascii="Arial" w:eastAsia="Times New Roman" w:hAnsi="Arial" w:cs="Times New Roman"/>
          <w:szCs w:val="20"/>
          <w:lang w:eastAsia="de-DE"/>
        </w:rPr>
        <w:t xml:space="preserve">Bürgermeister </w:t>
      </w:r>
    </w:p>
    <w:p w:rsidR="00235332" w:rsidRPr="003618C4" w:rsidRDefault="00235332" w:rsidP="003618C4">
      <w:pPr>
        <w:keepNext/>
        <w:spacing w:after="0" w:line="240" w:lineRule="auto"/>
        <w:outlineLvl w:val="0"/>
        <w:rPr>
          <w:rFonts w:ascii="Arial" w:eastAsia="Times New Roman" w:hAnsi="Arial" w:cs="Times New Roman"/>
          <w:b/>
          <w:color w:val="999999"/>
          <w:spacing w:val="24"/>
          <w:sz w:val="16"/>
          <w:szCs w:val="20"/>
          <w:lang w:eastAsia="de-DE"/>
        </w:rPr>
      </w:pPr>
    </w:p>
    <w:sectPr w:rsidR="00235332" w:rsidRPr="00361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E0FE2"/>
    <w:multiLevelType w:val="singleLevel"/>
    <w:tmpl w:val="EAD0AF7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C4"/>
    <w:rsid w:val="001922AF"/>
    <w:rsid w:val="00235332"/>
    <w:rsid w:val="003618C4"/>
    <w:rsid w:val="003B35E0"/>
    <w:rsid w:val="00F03A65"/>
    <w:rsid w:val="00F35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4B889-092D-4D60-995C-84B7E85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Rauenberg</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Sarah</dc:creator>
  <cp:keywords/>
  <dc:description/>
  <cp:lastModifiedBy>Wagner Sarah</cp:lastModifiedBy>
  <cp:revision>4</cp:revision>
  <dcterms:created xsi:type="dcterms:W3CDTF">2023-04-21T09:30:00Z</dcterms:created>
  <dcterms:modified xsi:type="dcterms:W3CDTF">2023-04-24T14:00:00Z</dcterms:modified>
</cp:coreProperties>
</file>